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44"/>
        <w:tblW w:w="10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3969"/>
        <w:gridCol w:w="2551"/>
      </w:tblGrid>
      <w:tr w:rsidR="002919E7" w:rsidTr="008D148B">
        <w:trPr>
          <w:trHeight w:val="39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2919E7" w:rsidRPr="008D148B" w:rsidRDefault="002919E7" w:rsidP="008D14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8B">
              <w:rPr>
                <w:lang w:bidi="ar-JO"/>
              </w:rPr>
              <w:t>QFO-AP-VA-01</w:t>
            </w:r>
            <w:r w:rsidR="008D148B" w:rsidRPr="008D148B"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19E7" w:rsidRDefault="002919E7" w:rsidP="008D14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E7" w:rsidRDefault="002919E7" w:rsidP="008D148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النموذج : </w:t>
            </w:r>
            <w:r w:rsidR="00061D7F">
              <w:rPr>
                <w:rFonts w:hint="cs"/>
                <w:color w:val="000000"/>
                <w:rtl/>
                <w:lang w:bidi="ar-JO"/>
              </w:rPr>
              <w:t>مخطط حل الإمت</w:t>
            </w:r>
            <w:r w:rsidR="00CE3D61">
              <w:rPr>
                <w:rFonts w:hint="cs"/>
                <w:color w:val="000000"/>
                <w:rtl/>
                <w:lang w:bidi="ar-JO"/>
              </w:rPr>
              <w:t>ح</w:t>
            </w:r>
            <w:r w:rsidR="00061D7F">
              <w:rPr>
                <w:rFonts w:hint="cs"/>
                <w:color w:val="000000"/>
                <w:rtl/>
                <w:lang w:bidi="ar-JO"/>
              </w:rPr>
              <w:t>ا</w:t>
            </w:r>
            <w:r w:rsidR="00CE3D61">
              <w:rPr>
                <w:rFonts w:hint="cs"/>
                <w:color w:val="000000"/>
                <w:rtl/>
                <w:lang w:bidi="ar-JO"/>
              </w:rPr>
              <w:t>ن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919E7" w:rsidRDefault="002919E7" w:rsidP="008D148B">
            <w:pPr>
              <w:bidi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822199B" wp14:editId="0F3D197E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97155</wp:posOffset>
                  </wp:positionV>
                  <wp:extent cx="360680" cy="35242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148B" w:rsidRDefault="008D148B" w:rsidP="008D148B">
            <w:pPr>
              <w:tabs>
                <w:tab w:val="right" w:pos="2153"/>
              </w:tabs>
              <w:bidi/>
              <w:spacing w:after="0" w:line="240" w:lineRule="auto"/>
              <w:rPr>
                <w:rFonts w:hint="cs"/>
                <w:b/>
                <w:bCs/>
                <w:color w:val="0033CC"/>
                <w:rtl/>
                <w:lang w:bidi="ar-JO"/>
              </w:rPr>
            </w:pPr>
          </w:p>
          <w:p w:rsidR="008D148B" w:rsidRDefault="008D148B" w:rsidP="008D148B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color w:val="0033CC"/>
                <w:rtl/>
                <w:lang w:bidi="ar-JO"/>
              </w:rPr>
            </w:pPr>
          </w:p>
          <w:p w:rsidR="002919E7" w:rsidRDefault="002919E7" w:rsidP="008D148B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b/>
                <w:bCs/>
                <w:color w:val="0033CC"/>
                <w:lang w:bidi="ar-JO"/>
              </w:rPr>
            </w:pPr>
            <w:r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2919E7" w:rsidRPr="00CC6907" w:rsidRDefault="002919E7" w:rsidP="008D148B">
            <w:pPr>
              <w:bidi/>
              <w:spacing w:after="0" w:line="240" w:lineRule="auto"/>
              <w:jc w:val="center"/>
              <w:rPr>
                <w:color w:val="0033CC"/>
                <w:sz w:val="24"/>
                <w:szCs w:val="24"/>
                <w:lang w:bidi="ar-JO"/>
              </w:rPr>
            </w:pPr>
            <w:r>
              <w:rPr>
                <w:color w:val="0033CC"/>
                <w:lang w:bidi="ar-JO"/>
              </w:rPr>
              <w:t>Philadelphia University</w:t>
            </w:r>
          </w:p>
        </w:tc>
      </w:tr>
      <w:tr w:rsidR="002919E7" w:rsidTr="008D148B">
        <w:trPr>
          <w:trHeight w:val="55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9E7" w:rsidRPr="008D148B" w:rsidRDefault="002919E7" w:rsidP="008D148B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8D148B"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19E7" w:rsidRDefault="002919E7" w:rsidP="008D14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الإصدار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E7" w:rsidRDefault="002919E7" w:rsidP="008D14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9E7" w:rsidRDefault="002919E7" w:rsidP="008D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2919E7" w:rsidTr="008D148B">
        <w:trPr>
          <w:trHeight w:val="37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9E7" w:rsidRPr="008D148B" w:rsidRDefault="008D148B" w:rsidP="008D148B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8D148B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9E7" w:rsidRDefault="002919E7" w:rsidP="008D14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919E7" w:rsidRDefault="002919E7" w:rsidP="008D14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المدققة :  </w:t>
            </w:r>
            <w:r w:rsidR="008D148B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9E7" w:rsidRDefault="002919E7" w:rsidP="008D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2919E7" w:rsidTr="008D148B">
        <w:trPr>
          <w:trHeight w:val="340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919E7" w:rsidRPr="008D148B" w:rsidRDefault="002919E7" w:rsidP="008D148B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 w:rsidRPr="008D148B"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919E7" w:rsidRDefault="002919E7" w:rsidP="008D14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عدد صفحات النموذج :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919E7" w:rsidRDefault="002919E7" w:rsidP="008D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9E7" w:rsidRDefault="002919E7" w:rsidP="008D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:rsidR="002919E7" w:rsidRPr="002919E7" w:rsidRDefault="002919E7" w:rsidP="002919E7">
      <w:pPr>
        <w:spacing w:after="0" w:line="240" w:lineRule="auto"/>
        <w:rPr>
          <w:rFonts w:ascii="Simplified Arabic" w:eastAsia="Times New Roman" w:hAnsi="Simplified Arabic" w:cs="Simplified Arabic"/>
          <w:sz w:val="18"/>
          <w:szCs w:val="18"/>
        </w:rPr>
      </w:pPr>
    </w:p>
    <w:p w:rsidR="00061D7F" w:rsidRPr="00061D7F" w:rsidRDefault="00061D7F" w:rsidP="00061D7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Lecturer</w:t>
      </w: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        : </w:t>
      </w:r>
    </w:p>
    <w:p w:rsidR="00061D7F" w:rsidRPr="00061D7F" w:rsidRDefault="00061D7F" w:rsidP="00061D7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Coordinator</w:t>
      </w: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        : </w:t>
      </w:r>
    </w:p>
    <w:p w:rsidR="00061D7F" w:rsidRPr="00061D7F" w:rsidRDefault="00061D7F" w:rsidP="00061D7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0" w:name="_GoBack"/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Internal Examiner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bookmarkEnd w:id="0"/>
    <w:p w:rsidR="00061D7F" w:rsidRPr="00061D7F" w:rsidRDefault="00061D7F" w:rsidP="00061D7F">
      <w:pPr>
        <w:spacing w:after="0" w:line="240" w:lineRule="auto"/>
        <w:rPr>
          <w:rFonts w:asciiTheme="majorBidi" w:eastAsia="Times New Roman" w:hAnsiTheme="majorBidi" w:cstheme="majorBidi"/>
          <w:sz w:val="40"/>
          <w:szCs w:val="40"/>
        </w:rPr>
      </w:pPr>
    </w:p>
    <w:p w:rsidR="00061D7F" w:rsidRDefault="00061D7F" w:rsidP="00061D7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Course Name (Course Number)</w:t>
      </w: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 --Section :___</w:t>
      </w: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First/ Second/ Final Exam  </w:t>
      </w:r>
    </w:p>
    <w:p w:rsidR="00061D7F" w:rsidRPr="00061D7F" w:rsidRDefault="00061D7F" w:rsidP="00061D7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:rsidR="00061D7F" w:rsidRPr="00061D7F" w:rsidRDefault="00061D7F" w:rsidP="00061D7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061D7F">
        <w:rPr>
          <w:rFonts w:asciiTheme="majorBidi" w:eastAsia="Times New Roman" w:hAnsiTheme="majorBidi" w:cstheme="majorBidi"/>
          <w:sz w:val="24"/>
          <w:szCs w:val="24"/>
        </w:rPr>
        <w:t>Semester  of year</w:t>
      </w: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</w:p>
    <w:p w:rsidR="00061D7F" w:rsidRPr="00061D7F" w:rsidRDefault="00061D7F" w:rsidP="00061D7F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Date</w:t>
      </w: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: Month,  Day, Year      </w:t>
      </w: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Time</w:t>
      </w:r>
      <w:r w:rsidRPr="00061D7F">
        <w:rPr>
          <w:rFonts w:asciiTheme="majorBidi" w:eastAsia="Times New Roman" w:hAnsiTheme="majorBidi" w:cstheme="majorBidi"/>
          <w:sz w:val="24"/>
          <w:szCs w:val="24"/>
        </w:rPr>
        <w:t>: ___ hours</w:t>
      </w:r>
    </w:p>
    <w:p w:rsidR="00061D7F" w:rsidRDefault="00061D7F" w:rsidP="00061D7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61D7F" w:rsidRPr="00061D7F" w:rsidRDefault="00061D7F" w:rsidP="00061D7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Information for Candidates</w:t>
      </w:r>
    </w:p>
    <w:p w:rsidR="00061D7F" w:rsidRPr="00061D7F" w:rsidRDefault="00061D7F" w:rsidP="00061D7F">
      <w:pPr>
        <w:tabs>
          <w:tab w:val="num" w:pos="426"/>
        </w:tabs>
        <w:spacing w:after="0" w:line="240" w:lineRule="auto"/>
        <w:ind w:left="270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This examination paper contains …   questions,  totaling   </w:t>
      </w: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…. </w:t>
      </w:r>
      <w:r w:rsidRPr="00061D7F">
        <w:rPr>
          <w:rFonts w:asciiTheme="majorBidi" w:eastAsia="Times New Roman" w:hAnsiTheme="majorBidi" w:cstheme="majorBidi"/>
          <w:sz w:val="24"/>
          <w:szCs w:val="24"/>
        </w:rPr>
        <w:t>marks.</w:t>
      </w:r>
    </w:p>
    <w:p w:rsidR="00061D7F" w:rsidRPr="00061D7F" w:rsidRDefault="00061D7F" w:rsidP="00061D7F">
      <w:pPr>
        <w:tabs>
          <w:tab w:val="num" w:pos="426"/>
        </w:tabs>
        <w:spacing w:after="0" w:line="240" w:lineRule="auto"/>
        <w:ind w:left="270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sz w:val="24"/>
          <w:szCs w:val="24"/>
        </w:rPr>
        <w:t>The marks for parts of questions are shown in round brackets.</w:t>
      </w:r>
    </w:p>
    <w:p w:rsidR="00F00CEF" w:rsidRDefault="00F00CEF" w:rsidP="00061D7F">
      <w:pPr>
        <w:keepNext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</w:p>
    <w:p w:rsidR="00061D7F" w:rsidRPr="00061D7F" w:rsidRDefault="00061D7F" w:rsidP="00061D7F">
      <w:pPr>
        <w:keepNext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Advice to Candidates</w:t>
      </w:r>
    </w:p>
    <w:p w:rsidR="00061D7F" w:rsidRPr="00061D7F" w:rsidRDefault="00061D7F" w:rsidP="00061D7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   You should attempt all questions.</w:t>
      </w:r>
    </w:p>
    <w:p w:rsidR="00061D7F" w:rsidRPr="00061D7F" w:rsidRDefault="00061D7F" w:rsidP="00061D7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061D7F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061D7F">
        <w:rPr>
          <w:rFonts w:asciiTheme="majorBidi" w:eastAsia="Times New Roman" w:hAnsiTheme="majorBidi" w:cstheme="majorBidi"/>
          <w:sz w:val="24"/>
          <w:szCs w:val="24"/>
        </w:rPr>
        <w:t>You should write your answers clearly.</w:t>
      </w:r>
    </w:p>
    <w:p w:rsidR="00F00CEF" w:rsidRDefault="00F00CEF" w:rsidP="00061D7F">
      <w:pPr>
        <w:tabs>
          <w:tab w:val="right" w:pos="13041"/>
        </w:tabs>
        <w:spacing w:after="0" w:line="240" w:lineRule="auto"/>
        <w:ind w:right="72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</w:p>
    <w:p w:rsidR="00061D7F" w:rsidRPr="00061D7F" w:rsidRDefault="00061D7F" w:rsidP="00061D7F">
      <w:pPr>
        <w:tabs>
          <w:tab w:val="right" w:pos="13041"/>
        </w:tabs>
        <w:spacing w:after="0" w:line="240" w:lineRule="auto"/>
        <w:ind w:right="72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I. Basic Notions</w:t>
      </w:r>
    </w:p>
    <w:p w:rsidR="00F00CEF" w:rsidRDefault="00F00CEF" w:rsidP="00061D7F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</w:p>
    <w:p w:rsidR="00061D7F" w:rsidRPr="00061D7F" w:rsidRDefault="00061D7F" w:rsidP="00061D7F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Objectives.</w:t>
      </w:r>
      <w:r w:rsidRPr="00061D7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The aim of the questions in this part is to evaluate the required minimal student knowledge and skills. </w:t>
      </w: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Answers in the pass category represent the minimum acceptable standard. </w:t>
      </w:r>
    </w:p>
    <w:p w:rsidR="00061D7F" w:rsidRPr="00061D7F" w:rsidRDefault="00061D7F" w:rsidP="00061D7F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// Questions with their answers and marking scheme </w:t>
      </w:r>
    </w:p>
    <w:p w:rsidR="00F00CEF" w:rsidRDefault="00F00CEF" w:rsidP="00061D7F">
      <w:pPr>
        <w:tabs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61D7F" w:rsidRPr="00061D7F" w:rsidRDefault="00061D7F" w:rsidP="00061D7F">
      <w:pPr>
        <w:tabs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II. Familiar Problems Solving </w:t>
      </w:r>
    </w:p>
    <w:p w:rsidR="00F00CEF" w:rsidRDefault="00F00CEF" w:rsidP="00061D7F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</w:p>
    <w:p w:rsidR="00061D7F" w:rsidRPr="00061D7F" w:rsidRDefault="00061D7F" w:rsidP="00061D7F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Objectives.</w:t>
      </w:r>
      <w:r w:rsidRPr="00061D7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The aim of the questions in this part is to evaluate </w:t>
      </w: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that the student has some basic knowledge of the key aspects of the lecture material and can attempt to solve familiar problems. </w:t>
      </w:r>
    </w:p>
    <w:p w:rsidR="00061D7F" w:rsidRPr="00061D7F" w:rsidRDefault="00061D7F" w:rsidP="00061D7F">
      <w:pPr>
        <w:tabs>
          <w:tab w:val="right" w:pos="9639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061D7F" w:rsidRDefault="00061D7F" w:rsidP="00061D7F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// Questions with their answers and marking scheme </w:t>
      </w:r>
    </w:p>
    <w:p w:rsidR="00F00CEF" w:rsidRPr="00061D7F" w:rsidRDefault="00F00CEF" w:rsidP="00061D7F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061D7F" w:rsidRPr="00061D7F" w:rsidRDefault="00061D7F" w:rsidP="00061D7F">
      <w:pPr>
        <w:numPr>
          <w:ilvl w:val="0"/>
          <w:numId w:val="4"/>
        </w:numPr>
        <w:tabs>
          <w:tab w:val="right" w:pos="426"/>
          <w:tab w:val="right" w:pos="13041"/>
        </w:tabs>
        <w:spacing w:after="0" w:line="240" w:lineRule="auto"/>
        <w:ind w:right="678" w:firstLine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</w:rPr>
        <w:t>Unfamiliar Problems Solving</w:t>
      </w:r>
    </w:p>
    <w:p w:rsidR="00F00CEF" w:rsidRDefault="00F00CEF" w:rsidP="00061D7F">
      <w:pPr>
        <w:tabs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</w:p>
    <w:p w:rsidR="00061D7F" w:rsidRPr="00061D7F" w:rsidRDefault="00061D7F" w:rsidP="00061D7F">
      <w:pPr>
        <w:tabs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061D7F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Objectives.</w:t>
      </w:r>
      <w:r w:rsidRPr="00061D7F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The aim of the questions in this part is to evaluate </w:t>
      </w:r>
      <w:r w:rsidRPr="00061D7F">
        <w:rPr>
          <w:rFonts w:asciiTheme="majorBidi" w:eastAsia="Times New Roman" w:hAnsiTheme="majorBidi" w:cstheme="majorBidi"/>
          <w:sz w:val="24"/>
          <w:szCs w:val="24"/>
        </w:rPr>
        <w:t>that the student can solve familiar problems with ease and can make progress towards the solution of unfamiliar problems, and can set out reasoning and explanation in a clear and coherent manner.</w:t>
      </w:r>
    </w:p>
    <w:p w:rsidR="00061D7F" w:rsidRPr="00061D7F" w:rsidRDefault="00061D7F" w:rsidP="00061D7F">
      <w:pPr>
        <w:tabs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061D7F" w:rsidRPr="00061D7F" w:rsidRDefault="00061D7F" w:rsidP="00061D7F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061D7F">
        <w:rPr>
          <w:rFonts w:asciiTheme="majorBidi" w:eastAsia="Times New Roman" w:hAnsiTheme="majorBidi" w:cstheme="majorBidi"/>
          <w:sz w:val="24"/>
          <w:szCs w:val="24"/>
        </w:rPr>
        <w:t xml:space="preserve">// Questions with their answers and marking scheme </w:t>
      </w:r>
    </w:p>
    <w:p w:rsidR="006B21D7" w:rsidRDefault="006B21D7"/>
    <w:sectPr w:rsidR="006B21D7" w:rsidSect="00CF3E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BB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>
    <w:nsid w:val="1A195CC0"/>
    <w:multiLevelType w:val="singleLevel"/>
    <w:tmpl w:val="FDB259D8"/>
    <w:lvl w:ilvl="0">
      <w:start w:val="3"/>
      <w:numFmt w:val="upperRoman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2">
    <w:nsid w:val="524E4534"/>
    <w:multiLevelType w:val="singleLevel"/>
    <w:tmpl w:val="D510445E"/>
    <w:lvl w:ilvl="0">
      <w:start w:val="1"/>
      <w:numFmt w:val="decimal"/>
      <w:lvlText w:val="%1."/>
      <w:lvlJc w:val="left"/>
      <w:pPr>
        <w:tabs>
          <w:tab w:val="num" w:pos="-774"/>
        </w:tabs>
        <w:ind w:right="927" w:hanging="360"/>
      </w:pPr>
      <w:rPr>
        <w:rFonts w:hint="default"/>
        <w:b/>
        <w:bCs/>
      </w:rPr>
    </w:lvl>
  </w:abstractNum>
  <w:abstractNum w:abstractNumId="3">
    <w:nsid w:val="70C15B2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E7"/>
    <w:rsid w:val="00061D7F"/>
    <w:rsid w:val="002919E7"/>
    <w:rsid w:val="006B21D7"/>
    <w:rsid w:val="008D148B"/>
    <w:rsid w:val="00BB4DEE"/>
    <w:rsid w:val="00CE3D61"/>
    <w:rsid w:val="00CF3EB2"/>
    <w:rsid w:val="00F0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Eman Odeh</cp:lastModifiedBy>
  <cp:revision>2</cp:revision>
  <cp:lastPrinted>2019-05-30T08:37:00Z</cp:lastPrinted>
  <dcterms:created xsi:type="dcterms:W3CDTF">2019-05-30T08:38:00Z</dcterms:created>
  <dcterms:modified xsi:type="dcterms:W3CDTF">2019-05-30T08:38:00Z</dcterms:modified>
</cp:coreProperties>
</file>